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82" w:rsidRDefault="006E4E5D">
      <w:pPr>
        <w:rPr>
          <w:rFonts w:ascii="Palatino Linotype" w:hAnsi="Palatino Linotype" w:cs="Times New Roman"/>
          <w:b/>
          <w:sz w:val="25"/>
          <w:szCs w:val="25"/>
        </w:rPr>
      </w:pPr>
      <w:r>
        <w:rPr>
          <w:rFonts w:ascii="Palatino Linotype" w:hAnsi="Palatino Linotype" w:cs="Times New Roman"/>
          <w:b/>
          <w:sz w:val="25"/>
          <w:szCs w:val="25"/>
        </w:rPr>
        <w:t>Aktuelle Rechtsprechung zum Verbot der Einlagenrückgewähr</w:t>
      </w:r>
    </w:p>
    <w:p w:rsidR="006E4E5D" w:rsidRDefault="006E4E5D">
      <w:pPr>
        <w:rPr>
          <w:rFonts w:ascii="Palatino Linotype" w:hAnsi="Palatino Linotype" w:cs="Times New Roman"/>
          <w:b/>
          <w:sz w:val="25"/>
          <w:szCs w:val="25"/>
        </w:rPr>
      </w:pPr>
    </w:p>
    <w:p w:rsidR="006E4E5D" w:rsidRDefault="006E4E5D" w:rsidP="006E4E5D">
      <w:pPr>
        <w:jc w:val="both"/>
        <w:rPr>
          <w:rFonts w:ascii="Palatino Linotype" w:hAnsi="Palatino Linotype" w:cs="Times New Roman"/>
          <w:b/>
          <w:sz w:val="25"/>
          <w:szCs w:val="25"/>
        </w:rPr>
      </w:pPr>
      <w:r>
        <w:rPr>
          <w:rFonts w:ascii="Palatino Linotype" w:hAnsi="Palatino Linotype" w:cs="Times New Roman"/>
          <w:b/>
          <w:sz w:val="25"/>
          <w:szCs w:val="25"/>
        </w:rPr>
        <w:t>Mit der Entscheidung vom 29.</w:t>
      </w:r>
      <w:r w:rsidR="00A27B54">
        <w:rPr>
          <w:rFonts w:ascii="Palatino Linotype" w:hAnsi="Palatino Linotype" w:cs="Times New Roman"/>
          <w:b/>
          <w:sz w:val="25"/>
          <w:szCs w:val="25"/>
        </w:rPr>
        <w:t>0</w:t>
      </w:r>
      <w:r>
        <w:rPr>
          <w:rFonts w:ascii="Palatino Linotype" w:hAnsi="Palatino Linotype" w:cs="Times New Roman"/>
          <w:b/>
          <w:sz w:val="25"/>
          <w:szCs w:val="25"/>
        </w:rPr>
        <w:t>8.2017, 6 Ob 114/17h, hat der OGH seine Rechtsprechung bestätigt, dass es zur Beurteilung einer verbotenen Einlagenrückgewähr hauptsächlich auf die Frage einer betrieblichen Rechtfertigung bzw. darauf</w:t>
      </w:r>
      <w:r w:rsidR="001A66A9" w:rsidRPr="001A66A9">
        <w:rPr>
          <w:rFonts w:ascii="Palatino Linotype" w:hAnsi="Palatino Linotype" w:cs="Times New Roman"/>
          <w:b/>
          <w:sz w:val="25"/>
          <w:szCs w:val="25"/>
        </w:rPr>
        <w:t xml:space="preserve"> </w:t>
      </w:r>
      <w:r w:rsidR="001A66A9">
        <w:rPr>
          <w:rFonts w:ascii="Palatino Linotype" w:hAnsi="Palatino Linotype" w:cs="Times New Roman"/>
          <w:b/>
          <w:sz w:val="25"/>
          <w:szCs w:val="25"/>
        </w:rPr>
        <w:t>ankommt</w:t>
      </w:r>
      <w:r>
        <w:rPr>
          <w:rFonts w:ascii="Palatino Linotype" w:hAnsi="Palatino Linotype" w:cs="Times New Roman"/>
          <w:b/>
          <w:sz w:val="25"/>
          <w:szCs w:val="25"/>
        </w:rPr>
        <w:t>, ob das Geschäft mit einem Dritten überhaupt abgeschlossen worden wäre. Darüber hinaus hat das Höchstgericht einige offene Fragen zum Rückersatzanspruch gemäß § 83 GmbHG geklärt. Der folgende Beitrag gibt einen Überblick über die Entscheidung und die Folgen für die Praxis.</w:t>
      </w:r>
    </w:p>
    <w:p w:rsidR="006E4E5D" w:rsidRDefault="006E4E5D" w:rsidP="006E4E5D">
      <w:pPr>
        <w:jc w:val="both"/>
        <w:rPr>
          <w:rFonts w:ascii="Palatino Linotype" w:hAnsi="Palatino Linotype" w:cs="Times New Roman"/>
          <w:b/>
          <w:sz w:val="25"/>
          <w:szCs w:val="25"/>
        </w:rPr>
      </w:pPr>
    </w:p>
    <w:p w:rsidR="00A06A3E" w:rsidRDefault="00A85383" w:rsidP="006E4E5D">
      <w:pPr>
        <w:jc w:val="both"/>
        <w:rPr>
          <w:rFonts w:ascii="Palatino Linotype" w:hAnsi="Palatino Linotype" w:cs="Times New Roman"/>
          <w:sz w:val="25"/>
          <w:szCs w:val="25"/>
        </w:rPr>
      </w:pPr>
      <w:r>
        <w:rPr>
          <w:rFonts w:ascii="Palatino Linotype" w:hAnsi="Palatino Linotype" w:cs="Times New Roman"/>
          <w:sz w:val="25"/>
          <w:szCs w:val="25"/>
        </w:rPr>
        <w:t>Ausgangslage der Entscheidung war der Verkauf von Anteilen an einer GmbH („Zielgesellschaft“). Zur Aufbringung des Kaufpreises verkaufte die Zielgesellschaft eigene Betriebsliegenschaft</w:t>
      </w:r>
      <w:r w:rsidR="0040128F">
        <w:rPr>
          <w:rFonts w:ascii="Palatino Linotype" w:hAnsi="Palatino Linotype" w:cs="Times New Roman"/>
          <w:sz w:val="25"/>
          <w:szCs w:val="25"/>
        </w:rPr>
        <w:t>en</w:t>
      </w:r>
      <w:r>
        <w:rPr>
          <w:rFonts w:ascii="Palatino Linotype" w:hAnsi="Palatino Linotype" w:cs="Times New Roman"/>
          <w:sz w:val="25"/>
          <w:szCs w:val="25"/>
        </w:rPr>
        <w:t xml:space="preserve">. Die Zielgesellschaft überließ den Verkaufserlös an die Anteilserwerber (Neugesellschafter) als Darlehen und wies den Treuhänder aus dem Liegenschaftsverkauf an, den bei ihm hinterlegten Verkaufserlös </w:t>
      </w:r>
      <w:r w:rsidR="0040128F">
        <w:rPr>
          <w:rFonts w:ascii="Palatino Linotype" w:hAnsi="Palatino Linotype" w:cs="Times New Roman"/>
          <w:sz w:val="25"/>
          <w:szCs w:val="25"/>
        </w:rPr>
        <w:t xml:space="preserve">direkt </w:t>
      </w:r>
      <w:r>
        <w:rPr>
          <w:rFonts w:ascii="Palatino Linotype" w:hAnsi="Palatino Linotype" w:cs="Times New Roman"/>
          <w:sz w:val="25"/>
          <w:szCs w:val="25"/>
        </w:rPr>
        <w:t xml:space="preserve">an den Altgesellschafter zur Tilgung des Abtretungspreises auszuzahlen. Der Altgesellschafter nahm die Zahlung an, klagte in der Folge die Anteilserwerber (Neugesellschafter) allerdings auf (neuerliche) Zahlung des gesamten Kaufpreises, weil </w:t>
      </w:r>
      <w:r w:rsidR="00A06A3E">
        <w:rPr>
          <w:rFonts w:ascii="Palatino Linotype" w:hAnsi="Palatino Linotype" w:cs="Times New Roman"/>
          <w:sz w:val="25"/>
          <w:szCs w:val="25"/>
        </w:rPr>
        <w:t>wegen des Verstoßes gegen das Verbot der Einlagenrückgewähr eine wirksame Zahlung bisher nicht erfolgt sei.</w:t>
      </w:r>
    </w:p>
    <w:p w:rsidR="00A06A3E" w:rsidRDefault="00A06A3E" w:rsidP="006E4E5D">
      <w:pPr>
        <w:jc w:val="both"/>
        <w:rPr>
          <w:rFonts w:ascii="Palatino Linotype" w:hAnsi="Palatino Linotype" w:cs="Times New Roman"/>
          <w:sz w:val="25"/>
          <w:szCs w:val="25"/>
        </w:rPr>
      </w:pPr>
    </w:p>
    <w:p w:rsidR="00153C09" w:rsidRDefault="00153C09" w:rsidP="006E4E5D">
      <w:pPr>
        <w:jc w:val="both"/>
        <w:rPr>
          <w:rFonts w:ascii="Palatino Linotype" w:hAnsi="Palatino Linotype" w:cs="Times New Roman"/>
          <w:sz w:val="25"/>
          <w:szCs w:val="25"/>
        </w:rPr>
      </w:pPr>
    </w:p>
    <w:p w:rsidR="00153C09" w:rsidRPr="00153C09" w:rsidRDefault="00153C09" w:rsidP="00153C09">
      <w:pPr>
        <w:pStyle w:val="berschrift1"/>
        <w:rPr>
          <w:color w:val="FF0000"/>
        </w:rPr>
      </w:pPr>
      <w:r w:rsidRPr="00153C09">
        <w:rPr>
          <w:color w:val="FF0000"/>
        </w:rPr>
        <w:t xml:space="preserve">Darlehensgewährung </w:t>
      </w:r>
      <w:r w:rsidR="008901D5">
        <w:rPr>
          <w:color w:val="FF0000"/>
        </w:rPr>
        <w:t>an den</w:t>
      </w:r>
      <w:r w:rsidRPr="00153C09">
        <w:rPr>
          <w:color w:val="FF0000"/>
        </w:rPr>
        <w:t xml:space="preserve"> (Neu-)Gesellschafter</w:t>
      </w:r>
    </w:p>
    <w:p w:rsidR="000A1CCC" w:rsidRDefault="00A06A3E" w:rsidP="006E4E5D">
      <w:pPr>
        <w:jc w:val="both"/>
        <w:rPr>
          <w:rFonts w:ascii="Palatino Linotype" w:hAnsi="Palatino Linotype" w:cs="Times New Roman"/>
          <w:sz w:val="25"/>
          <w:szCs w:val="25"/>
        </w:rPr>
      </w:pPr>
      <w:r>
        <w:rPr>
          <w:rFonts w:ascii="Palatino Linotype" w:hAnsi="Palatino Linotype" w:cs="Times New Roman"/>
          <w:sz w:val="25"/>
          <w:szCs w:val="25"/>
        </w:rPr>
        <w:t>Während das Erstgericht die Klage abwies, gab ihr der OGH statt. Grundsätzlich liegt die immer wieder auftretende Konstellation vor, in der die Zielgesellschaft den Anteilserwerb an ihr selbst finanziert (vgl in der Rechtsprechung</w:t>
      </w:r>
      <w:r w:rsidR="0040128F">
        <w:rPr>
          <w:rFonts w:ascii="Palatino Linotype" w:hAnsi="Palatino Linotype" w:cs="Times New Roman"/>
          <w:sz w:val="25"/>
          <w:szCs w:val="25"/>
        </w:rPr>
        <w:t xml:space="preserve"> zuletzt</w:t>
      </w:r>
      <w:r>
        <w:rPr>
          <w:rFonts w:ascii="Palatino Linotype" w:hAnsi="Palatino Linotype" w:cs="Times New Roman"/>
          <w:sz w:val="25"/>
          <w:szCs w:val="25"/>
        </w:rPr>
        <w:t xml:space="preserve"> z.B. OGH 6 Ob 14/14y). </w:t>
      </w:r>
      <w:r w:rsidR="000A1CCC">
        <w:rPr>
          <w:rFonts w:ascii="Palatino Linotype" w:hAnsi="Palatino Linotype" w:cs="Times New Roman"/>
          <w:sz w:val="25"/>
          <w:szCs w:val="25"/>
        </w:rPr>
        <w:t xml:space="preserve">Zur Beurteilung der damit verbundenen Darlehensgewährung der Gesellschaft an den (Neu-)Gesellschafter ist es nach Ansicht des OGH entscheidend, ob eine </w:t>
      </w:r>
      <w:r w:rsidR="000A1CCC" w:rsidRPr="00153C09">
        <w:rPr>
          <w:rFonts w:ascii="Palatino Linotype" w:hAnsi="Palatino Linotype" w:cs="Times New Roman"/>
          <w:b/>
          <w:sz w:val="25"/>
          <w:szCs w:val="25"/>
        </w:rPr>
        <w:t>Besserstellung des Gesellschafters gegenüber anderen Vertragspartnern der Gesellschaf</w:t>
      </w:r>
      <w:r w:rsidR="000A1CCC" w:rsidRPr="000A1CCC">
        <w:rPr>
          <w:rFonts w:ascii="Palatino Linotype" w:hAnsi="Palatino Linotype" w:cs="Times New Roman"/>
          <w:sz w:val="25"/>
          <w:szCs w:val="25"/>
          <w:u w:val="single"/>
        </w:rPr>
        <w:t>t</w:t>
      </w:r>
      <w:r w:rsidR="000A1CCC">
        <w:rPr>
          <w:rFonts w:ascii="Palatino Linotype" w:hAnsi="Palatino Linotype" w:cs="Times New Roman"/>
          <w:sz w:val="25"/>
          <w:szCs w:val="25"/>
        </w:rPr>
        <w:t xml:space="preserve"> erfolgt und ob diese Bevorzugung </w:t>
      </w:r>
      <w:r w:rsidR="000A1CCC" w:rsidRPr="00153C09">
        <w:rPr>
          <w:rFonts w:ascii="Palatino Linotype" w:hAnsi="Palatino Linotype" w:cs="Times New Roman"/>
          <w:b/>
          <w:sz w:val="25"/>
          <w:szCs w:val="25"/>
        </w:rPr>
        <w:t>aufgrund der Gesellschafterstellung</w:t>
      </w:r>
      <w:r w:rsidR="000A1CCC">
        <w:rPr>
          <w:rFonts w:ascii="Palatino Linotype" w:hAnsi="Palatino Linotype" w:cs="Times New Roman"/>
          <w:sz w:val="25"/>
          <w:szCs w:val="25"/>
        </w:rPr>
        <w:t xml:space="preserve"> erfolgt und </w:t>
      </w:r>
      <w:r w:rsidR="000A1CCC" w:rsidRPr="00153C09">
        <w:rPr>
          <w:rFonts w:ascii="Palatino Linotype" w:hAnsi="Palatino Linotype" w:cs="Times New Roman"/>
          <w:b/>
          <w:sz w:val="25"/>
          <w:szCs w:val="25"/>
        </w:rPr>
        <w:t xml:space="preserve">zu Lasten der Gesellschaft </w:t>
      </w:r>
      <w:r w:rsidR="000A1CCC">
        <w:rPr>
          <w:rFonts w:ascii="Palatino Linotype" w:hAnsi="Palatino Linotype" w:cs="Times New Roman"/>
          <w:sz w:val="25"/>
          <w:szCs w:val="25"/>
        </w:rPr>
        <w:t xml:space="preserve">geht (unter Verweis auf die bisherige Rechtsprechung, 6 Ob 171/15p ErwGr 5.5). Diese Voraussetzung wird nach Ansicht des OGH bei der </w:t>
      </w:r>
      <w:r w:rsidR="000A1CCC" w:rsidRPr="00153C09">
        <w:rPr>
          <w:rFonts w:ascii="Palatino Linotype" w:hAnsi="Palatino Linotype" w:cs="Times New Roman"/>
          <w:b/>
          <w:sz w:val="25"/>
          <w:szCs w:val="25"/>
        </w:rPr>
        <w:t>Gewährung von Darlehen in der Regel zutreffen</w:t>
      </w:r>
      <w:r w:rsidR="000A1CCC">
        <w:rPr>
          <w:rFonts w:ascii="Palatino Linotype" w:hAnsi="Palatino Linotype" w:cs="Times New Roman"/>
          <w:sz w:val="25"/>
          <w:szCs w:val="25"/>
        </w:rPr>
        <w:t xml:space="preserve">, weil </w:t>
      </w:r>
      <w:r w:rsidR="000A1CCC" w:rsidRPr="00153C09">
        <w:rPr>
          <w:rFonts w:ascii="Palatino Linotype" w:hAnsi="Palatino Linotype" w:cs="Times New Roman"/>
          <w:b/>
          <w:sz w:val="25"/>
          <w:szCs w:val="25"/>
        </w:rPr>
        <w:t>Nicht-Banken im Normalfall keinen Geldkredit begeben</w:t>
      </w:r>
      <w:r w:rsidR="000A1CCC">
        <w:rPr>
          <w:rFonts w:ascii="Palatino Linotype" w:hAnsi="Palatino Linotype" w:cs="Times New Roman"/>
          <w:sz w:val="25"/>
          <w:szCs w:val="25"/>
        </w:rPr>
        <w:t xml:space="preserve">. Aus diesem Grund dürfen Darlehen nur dann </w:t>
      </w:r>
      <w:r w:rsidR="000A1CCC" w:rsidRPr="00153C09">
        <w:rPr>
          <w:rFonts w:ascii="Palatino Linotype" w:hAnsi="Palatino Linotype" w:cs="Times New Roman"/>
          <w:b/>
          <w:sz w:val="25"/>
          <w:szCs w:val="25"/>
        </w:rPr>
        <w:t>ausnahmsweise an Gesellschafter</w:t>
      </w:r>
      <w:r w:rsidR="000A1CCC">
        <w:rPr>
          <w:rFonts w:ascii="Palatino Linotype" w:hAnsi="Palatino Linotype" w:cs="Times New Roman"/>
          <w:sz w:val="25"/>
          <w:szCs w:val="25"/>
        </w:rPr>
        <w:t xml:space="preserve"> vergeben werden, wenn die Auskehr der Mittel mit der </w:t>
      </w:r>
      <w:r w:rsidR="000A1CCC" w:rsidRPr="00153C09">
        <w:rPr>
          <w:rFonts w:ascii="Palatino Linotype" w:hAnsi="Palatino Linotype" w:cs="Times New Roman"/>
          <w:b/>
          <w:sz w:val="25"/>
          <w:szCs w:val="25"/>
        </w:rPr>
        <w:t>Sorgfalt eines ordentlichen Geschäftsleiters</w:t>
      </w:r>
      <w:r w:rsidR="000A1CCC">
        <w:rPr>
          <w:rFonts w:ascii="Palatino Linotype" w:hAnsi="Palatino Linotype" w:cs="Times New Roman"/>
          <w:sz w:val="25"/>
          <w:szCs w:val="25"/>
        </w:rPr>
        <w:t xml:space="preserve"> vereinbar ist. Zudem berücksichtigt der OGH die </w:t>
      </w:r>
      <w:r w:rsidR="000A1CCC" w:rsidRPr="00153C09">
        <w:rPr>
          <w:rFonts w:ascii="Palatino Linotype" w:hAnsi="Palatino Linotype" w:cs="Times New Roman"/>
          <w:b/>
          <w:sz w:val="25"/>
          <w:szCs w:val="25"/>
        </w:rPr>
        <w:t>mangelnde Möglichkeit einer Risikostreuung</w:t>
      </w:r>
      <w:r w:rsidR="000A1CCC">
        <w:rPr>
          <w:rFonts w:ascii="Palatino Linotype" w:hAnsi="Palatino Linotype" w:cs="Times New Roman"/>
          <w:sz w:val="25"/>
          <w:szCs w:val="25"/>
        </w:rPr>
        <w:t xml:space="preserve"> bei Vergabe nur eines Kredits. </w:t>
      </w:r>
    </w:p>
    <w:p w:rsidR="000A1CCC" w:rsidRDefault="000A1CCC" w:rsidP="006E4E5D">
      <w:pPr>
        <w:jc w:val="both"/>
        <w:rPr>
          <w:rFonts w:ascii="Palatino Linotype" w:hAnsi="Palatino Linotype" w:cs="Times New Roman"/>
          <w:sz w:val="25"/>
          <w:szCs w:val="25"/>
        </w:rPr>
      </w:pPr>
    </w:p>
    <w:p w:rsidR="00153C09" w:rsidRDefault="00153C09" w:rsidP="006E4E5D">
      <w:pPr>
        <w:jc w:val="both"/>
        <w:rPr>
          <w:rFonts w:ascii="Palatino Linotype" w:hAnsi="Palatino Linotype" w:cs="Times New Roman"/>
          <w:sz w:val="25"/>
          <w:szCs w:val="25"/>
        </w:rPr>
      </w:pPr>
    </w:p>
    <w:p w:rsidR="00153C09" w:rsidRPr="00153C09" w:rsidRDefault="00153C09" w:rsidP="00153C09">
      <w:pPr>
        <w:pStyle w:val="berschrift1"/>
        <w:rPr>
          <w:color w:val="FF0000"/>
        </w:rPr>
      </w:pPr>
      <w:r w:rsidRPr="00153C09">
        <w:rPr>
          <w:color w:val="FF0000"/>
        </w:rPr>
        <w:t>Verbotene Einlagenrückgewähr trotz marktüblicher Verzinsung</w:t>
      </w:r>
    </w:p>
    <w:p w:rsidR="000A1CCC" w:rsidRDefault="000A1CCC" w:rsidP="006E4E5D">
      <w:pPr>
        <w:jc w:val="both"/>
        <w:rPr>
          <w:rFonts w:ascii="Palatino Linotype" w:hAnsi="Palatino Linotype" w:cs="Times New Roman"/>
          <w:sz w:val="25"/>
          <w:szCs w:val="25"/>
        </w:rPr>
      </w:pPr>
      <w:r>
        <w:rPr>
          <w:rFonts w:ascii="Palatino Linotype" w:hAnsi="Palatino Linotype" w:cs="Times New Roman"/>
          <w:sz w:val="25"/>
          <w:szCs w:val="25"/>
        </w:rPr>
        <w:t xml:space="preserve">Die Darlehensgewährung wurde daher als </w:t>
      </w:r>
      <w:r w:rsidRPr="00153C09">
        <w:rPr>
          <w:rFonts w:ascii="Palatino Linotype" w:hAnsi="Palatino Linotype" w:cs="Times New Roman"/>
          <w:b/>
          <w:sz w:val="25"/>
          <w:szCs w:val="25"/>
        </w:rPr>
        <w:t>Verstoß gegen das Verbot der Einlagenrückgewähr</w:t>
      </w:r>
      <w:r>
        <w:rPr>
          <w:rFonts w:ascii="Palatino Linotype" w:hAnsi="Palatino Linotype" w:cs="Times New Roman"/>
          <w:sz w:val="25"/>
          <w:szCs w:val="25"/>
        </w:rPr>
        <w:t xml:space="preserve"> </w:t>
      </w:r>
      <w:r w:rsidR="001A4BEC">
        <w:rPr>
          <w:rFonts w:ascii="Palatino Linotype" w:hAnsi="Palatino Linotype" w:cs="Times New Roman"/>
          <w:sz w:val="25"/>
          <w:szCs w:val="25"/>
        </w:rPr>
        <w:t xml:space="preserve">iSd § 82 GmbHG </w:t>
      </w:r>
      <w:r>
        <w:rPr>
          <w:rFonts w:ascii="Palatino Linotype" w:hAnsi="Palatino Linotype" w:cs="Times New Roman"/>
          <w:sz w:val="25"/>
          <w:szCs w:val="25"/>
        </w:rPr>
        <w:t xml:space="preserve">gewertet. Dabei lehnte der OGH ausdrücklich das Argument ab, dass eine </w:t>
      </w:r>
      <w:r w:rsidRPr="00153C09">
        <w:rPr>
          <w:rFonts w:ascii="Palatino Linotype" w:hAnsi="Palatino Linotype" w:cs="Times New Roman"/>
          <w:b/>
          <w:sz w:val="25"/>
          <w:szCs w:val="25"/>
        </w:rPr>
        <w:t>marktübliche Verzinsung</w:t>
      </w:r>
      <w:r>
        <w:rPr>
          <w:rFonts w:ascii="Palatino Linotype" w:hAnsi="Palatino Linotype" w:cs="Times New Roman"/>
          <w:sz w:val="25"/>
          <w:szCs w:val="25"/>
        </w:rPr>
        <w:t xml:space="preserve"> vereinbart worden sei. Es seien nicht nur die konkreten Konditionen zu berücksichtigen, sondern vor allem auch die Frage, ob </w:t>
      </w:r>
      <w:r w:rsidRPr="00153C09">
        <w:rPr>
          <w:rFonts w:ascii="Palatino Linotype" w:hAnsi="Palatino Linotype" w:cs="Times New Roman"/>
          <w:b/>
          <w:sz w:val="25"/>
          <w:szCs w:val="25"/>
        </w:rPr>
        <w:t xml:space="preserve">mit einem gesellschaftsfremden Dritten </w:t>
      </w:r>
      <w:r w:rsidR="0040128F" w:rsidRPr="00153C09">
        <w:rPr>
          <w:rFonts w:ascii="Palatino Linotype" w:hAnsi="Palatino Linotype" w:cs="Times New Roman"/>
          <w:b/>
          <w:sz w:val="25"/>
          <w:szCs w:val="25"/>
        </w:rPr>
        <w:t xml:space="preserve">überhaupt </w:t>
      </w:r>
      <w:r w:rsidRPr="00153C09">
        <w:rPr>
          <w:rFonts w:ascii="Palatino Linotype" w:hAnsi="Palatino Linotype" w:cs="Times New Roman"/>
          <w:b/>
          <w:sz w:val="25"/>
          <w:szCs w:val="25"/>
        </w:rPr>
        <w:t>ein derartiges Geschäft abgeschlossen worden wäre.</w:t>
      </w:r>
      <w:r>
        <w:rPr>
          <w:rFonts w:ascii="Palatino Linotype" w:hAnsi="Palatino Linotype" w:cs="Times New Roman"/>
          <w:sz w:val="25"/>
          <w:szCs w:val="25"/>
        </w:rPr>
        <w:t xml:space="preserve"> </w:t>
      </w:r>
    </w:p>
    <w:p w:rsidR="000A1CCC" w:rsidRDefault="000A1CCC" w:rsidP="006E4E5D">
      <w:pPr>
        <w:jc w:val="both"/>
        <w:rPr>
          <w:rFonts w:ascii="Palatino Linotype" w:hAnsi="Palatino Linotype" w:cs="Times New Roman"/>
          <w:sz w:val="25"/>
          <w:szCs w:val="25"/>
        </w:rPr>
      </w:pPr>
    </w:p>
    <w:p w:rsidR="001A66A9" w:rsidRDefault="000A1CCC" w:rsidP="006E4E5D">
      <w:pPr>
        <w:jc w:val="both"/>
        <w:rPr>
          <w:rFonts w:ascii="Palatino Linotype" w:hAnsi="Palatino Linotype" w:cs="Times New Roman"/>
          <w:sz w:val="25"/>
          <w:szCs w:val="25"/>
        </w:rPr>
      </w:pPr>
      <w:r>
        <w:rPr>
          <w:rFonts w:ascii="Palatino Linotype" w:hAnsi="Palatino Linotype" w:cs="Times New Roman"/>
          <w:sz w:val="25"/>
          <w:szCs w:val="25"/>
        </w:rPr>
        <w:t xml:space="preserve">Entgegen der Kritik der Lehre führt der OGH </w:t>
      </w:r>
      <w:r w:rsidR="0040128F">
        <w:rPr>
          <w:rFonts w:ascii="Palatino Linotype" w:hAnsi="Palatino Linotype" w:cs="Times New Roman"/>
          <w:sz w:val="25"/>
          <w:szCs w:val="25"/>
        </w:rPr>
        <w:t xml:space="preserve">damit die Rechtsprechung der Entscheidung 6 Ob 110/12p </w:t>
      </w:r>
      <w:r>
        <w:rPr>
          <w:rFonts w:ascii="Palatino Linotype" w:hAnsi="Palatino Linotype" w:cs="Times New Roman"/>
          <w:sz w:val="25"/>
          <w:szCs w:val="25"/>
        </w:rPr>
        <w:t xml:space="preserve">fort, das Kriterium der </w:t>
      </w:r>
      <w:r w:rsidRPr="00153C09">
        <w:rPr>
          <w:rFonts w:ascii="Palatino Linotype" w:hAnsi="Palatino Linotype" w:cs="Times New Roman"/>
          <w:b/>
          <w:sz w:val="25"/>
          <w:szCs w:val="25"/>
        </w:rPr>
        <w:t>betrieblichen Rechtfertigung</w:t>
      </w:r>
      <w:r>
        <w:rPr>
          <w:rFonts w:ascii="Palatino Linotype" w:hAnsi="Palatino Linotype" w:cs="Times New Roman"/>
          <w:sz w:val="25"/>
          <w:szCs w:val="25"/>
        </w:rPr>
        <w:t xml:space="preserve"> in den Vordergrund zu rücken. Selbst wenn ein objektives Missverhältnis von Leistung und Gegenleistung nicht </w:t>
      </w:r>
      <w:r w:rsidR="0040128F">
        <w:rPr>
          <w:rFonts w:ascii="Palatino Linotype" w:hAnsi="Palatino Linotype" w:cs="Times New Roman"/>
          <w:sz w:val="25"/>
          <w:szCs w:val="25"/>
        </w:rPr>
        <w:t xml:space="preserve">besteht (und somit ein fremdüblicher Leistungsaustausch </w:t>
      </w:r>
      <w:r>
        <w:rPr>
          <w:rFonts w:ascii="Palatino Linotype" w:hAnsi="Palatino Linotype" w:cs="Times New Roman"/>
          <w:sz w:val="25"/>
          <w:szCs w:val="25"/>
        </w:rPr>
        <w:t>vorliegt</w:t>
      </w:r>
      <w:r w:rsidR="0040128F">
        <w:rPr>
          <w:rFonts w:ascii="Palatino Linotype" w:hAnsi="Palatino Linotype" w:cs="Times New Roman"/>
          <w:sz w:val="25"/>
          <w:szCs w:val="25"/>
        </w:rPr>
        <w:t>)</w:t>
      </w:r>
      <w:r>
        <w:rPr>
          <w:rFonts w:ascii="Palatino Linotype" w:hAnsi="Palatino Linotype" w:cs="Times New Roman"/>
          <w:sz w:val="25"/>
          <w:szCs w:val="25"/>
        </w:rPr>
        <w:t>, kann daher eine verbotene Einlagenrückgewähr vorliegen, wenn das Geschäft mit einem Dritten überhaupt nicht abgeschlossen worden wäre. Aus dieser Rechtsprechung folgt für die Praxis, dass bei beabsichtigten Darlehensgewähru</w:t>
      </w:r>
      <w:r w:rsidR="0040128F">
        <w:rPr>
          <w:rFonts w:ascii="Palatino Linotype" w:hAnsi="Palatino Linotype" w:cs="Times New Roman"/>
          <w:sz w:val="25"/>
          <w:szCs w:val="25"/>
        </w:rPr>
        <w:t>ngen von der Gesellschaft an einen</w:t>
      </w:r>
      <w:r>
        <w:rPr>
          <w:rFonts w:ascii="Palatino Linotype" w:hAnsi="Palatino Linotype" w:cs="Times New Roman"/>
          <w:sz w:val="25"/>
          <w:szCs w:val="25"/>
        </w:rPr>
        <w:t xml:space="preserve"> Gesellschafter äußerste Vorsicht angebracht ist und eine solche Darlehensgewährung nur ausnahmsweise zulässig sein wird (wobei das Kriterium der Sorgfalt eines ordentlichen Geschäftsleiters in diesem Zusammenhang relativ unbestimmt ist). </w:t>
      </w:r>
      <w:r w:rsidR="001A66A9">
        <w:rPr>
          <w:rFonts w:ascii="Palatino Linotype" w:hAnsi="Palatino Linotype" w:cs="Times New Roman"/>
          <w:sz w:val="25"/>
          <w:szCs w:val="25"/>
        </w:rPr>
        <w:t xml:space="preserve">Fraglich ist, ob anhand des Maßstabs der Rechtsprechung in Zukunft beispielsweise auch Darlehensgewährungen an Gesellschafter </w:t>
      </w:r>
      <w:r w:rsidR="001A66A9" w:rsidRPr="00153C09">
        <w:rPr>
          <w:rFonts w:ascii="Palatino Linotype" w:hAnsi="Palatino Linotype" w:cs="Times New Roman"/>
          <w:b/>
          <w:sz w:val="25"/>
          <w:szCs w:val="25"/>
        </w:rPr>
        <w:t>im Rahmen von Verrechnungskonten</w:t>
      </w:r>
      <w:r w:rsidR="001A66A9">
        <w:rPr>
          <w:rFonts w:ascii="Palatino Linotype" w:hAnsi="Palatino Linotype" w:cs="Times New Roman"/>
          <w:sz w:val="25"/>
          <w:szCs w:val="25"/>
        </w:rPr>
        <w:t xml:space="preserve"> zu beurteilen sein werden.</w:t>
      </w:r>
    </w:p>
    <w:p w:rsidR="000A1CCC" w:rsidRDefault="000A1CCC" w:rsidP="006E4E5D">
      <w:pPr>
        <w:jc w:val="both"/>
        <w:rPr>
          <w:rFonts w:ascii="Palatino Linotype" w:hAnsi="Palatino Linotype" w:cs="Times New Roman"/>
          <w:sz w:val="25"/>
          <w:szCs w:val="25"/>
        </w:rPr>
      </w:pPr>
    </w:p>
    <w:p w:rsidR="00153C09" w:rsidRPr="00153C09" w:rsidRDefault="00153C09" w:rsidP="00153C09">
      <w:pPr>
        <w:pStyle w:val="berschrift2"/>
        <w:rPr>
          <w:color w:val="FF0000"/>
        </w:rPr>
      </w:pPr>
      <w:r w:rsidRPr="00153C09">
        <w:rPr>
          <w:color w:val="FF0000"/>
        </w:rPr>
        <w:t xml:space="preserve">Rückersatzanspruch gemäß § 83 GmbHG </w:t>
      </w:r>
    </w:p>
    <w:p w:rsidR="001A66A9" w:rsidRDefault="00EB5182" w:rsidP="001A66A9">
      <w:pPr>
        <w:jc w:val="both"/>
        <w:rPr>
          <w:rFonts w:ascii="Palatino Linotype" w:hAnsi="Palatino Linotype" w:cs="Times New Roman"/>
          <w:sz w:val="25"/>
          <w:szCs w:val="25"/>
        </w:rPr>
      </w:pPr>
      <w:r w:rsidRPr="00EB5182">
        <w:rPr>
          <w:rFonts w:ascii="Palatino Linotype" w:hAnsi="Palatino Linotype" w:cs="Times New Roman"/>
          <w:sz w:val="25"/>
          <w:szCs w:val="25"/>
        </w:rPr>
        <w:t xml:space="preserve">In der Entscheidung hat der OGH weiters einige offene Fragen zum </w:t>
      </w:r>
      <w:r w:rsidRPr="00153C09">
        <w:rPr>
          <w:rFonts w:ascii="Palatino Linotype" w:hAnsi="Palatino Linotype" w:cs="Times New Roman"/>
          <w:b/>
          <w:sz w:val="25"/>
          <w:szCs w:val="25"/>
        </w:rPr>
        <w:t>Rückersatzanspruch gemäß § 83 GmbHG</w:t>
      </w:r>
      <w:r w:rsidRPr="00EB5182">
        <w:rPr>
          <w:rFonts w:ascii="Palatino Linotype" w:hAnsi="Palatino Linotype" w:cs="Times New Roman"/>
          <w:sz w:val="25"/>
          <w:szCs w:val="25"/>
        </w:rPr>
        <w:t xml:space="preserve"> geklärt.</w:t>
      </w:r>
      <w:r>
        <w:rPr>
          <w:rFonts w:ascii="Palatino Linotype" w:hAnsi="Palatino Linotype" w:cs="Times New Roman"/>
          <w:sz w:val="25"/>
          <w:szCs w:val="25"/>
        </w:rPr>
        <w:t xml:space="preserve"> Grundsätzlich ist gemäß § 83 GmbHG </w:t>
      </w:r>
      <w:r w:rsidR="0040128F">
        <w:rPr>
          <w:rFonts w:ascii="Palatino Linotype" w:hAnsi="Palatino Linotype" w:cs="Times New Roman"/>
          <w:sz w:val="25"/>
          <w:szCs w:val="25"/>
        </w:rPr>
        <w:t xml:space="preserve">der Gesellschafter, </w:t>
      </w:r>
      <w:r>
        <w:rPr>
          <w:rFonts w:ascii="Palatino Linotype" w:hAnsi="Palatino Linotype" w:cs="Times New Roman"/>
          <w:sz w:val="25"/>
          <w:szCs w:val="25"/>
        </w:rPr>
        <w:t xml:space="preserve">zu </w:t>
      </w:r>
      <w:r w:rsidRPr="00153C09">
        <w:rPr>
          <w:rFonts w:ascii="Palatino Linotype" w:hAnsi="Palatino Linotype" w:cs="Times New Roman"/>
          <w:b/>
          <w:sz w:val="25"/>
          <w:szCs w:val="25"/>
        </w:rPr>
        <w:t>de</w:t>
      </w:r>
      <w:r w:rsidR="0040128F" w:rsidRPr="00153C09">
        <w:rPr>
          <w:rFonts w:ascii="Palatino Linotype" w:hAnsi="Palatino Linotype" w:cs="Times New Roman"/>
          <w:b/>
          <w:sz w:val="25"/>
          <w:szCs w:val="25"/>
        </w:rPr>
        <w:t>ss</w:t>
      </w:r>
      <w:r w:rsidRPr="00153C09">
        <w:rPr>
          <w:rFonts w:ascii="Palatino Linotype" w:hAnsi="Palatino Linotype" w:cs="Times New Roman"/>
          <w:b/>
          <w:sz w:val="25"/>
          <w:szCs w:val="25"/>
        </w:rPr>
        <w:t>en Gunsten</w:t>
      </w:r>
      <w:r>
        <w:rPr>
          <w:rFonts w:ascii="Palatino Linotype" w:hAnsi="Palatino Linotype" w:cs="Times New Roman"/>
          <w:sz w:val="25"/>
          <w:szCs w:val="25"/>
        </w:rPr>
        <w:t xml:space="preserve"> gesetzwidrige Zahlungen geleistet worden sind, der Gesellschaft zum Rückersatz verpflichtet. </w:t>
      </w:r>
      <w:r w:rsidR="001A66A9" w:rsidRPr="00153C09">
        <w:rPr>
          <w:rFonts w:ascii="Palatino Linotype" w:hAnsi="Palatino Linotype" w:cs="Times New Roman"/>
          <w:b/>
          <w:sz w:val="25"/>
          <w:szCs w:val="25"/>
        </w:rPr>
        <w:t>Schuldner des Erstattungsanspruchs</w:t>
      </w:r>
      <w:r w:rsidR="001A66A9">
        <w:rPr>
          <w:rFonts w:ascii="Palatino Linotype" w:hAnsi="Palatino Linotype" w:cs="Times New Roman"/>
          <w:sz w:val="25"/>
          <w:szCs w:val="25"/>
        </w:rPr>
        <w:t xml:space="preserve"> ist jener Gesellschafter, der die verbotene Auszahlung </w:t>
      </w:r>
      <w:r w:rsidR="001A66A9" w:rsidRPr="00B52B07">
        <w:rPr>
          <w:rFonts w:ascii="Palatino Linotype" w:hAnsi="Palatino Linotype" w:cs="Times New Roman"/>
          <w:sz w:val="25"/>
          <w:szCs w:val="25"/>
          <w:u w:val="single"/>
        </w:rPr>
        <w:t>empfangen</w:t>
      </w:r>
      <w:r w:rsidR="001A66A9">
        <w:rPr>
          <w:rFonts w:ascii="Palatino Linotype" w:hAnsi="Palatino Linotype" w:cs="Times New Roman"/>
          <w:sz w:val="25"/>
          <w:szCs w:val="25"/>
        </w:rPr>
        <w:t xml:space="preserve"> hat; dies gilt auch dann, wenn die Gesellschaft auf Verlangen des Gesellschafters eine Leistung an einen Dritten erbringt. Dies wäre im vorliegenden Fall der </w:t>
      </w:r>
      <w:r w:rsidR="001A66A9" w:rsidRPr="00125166">
        <w:rPr>
          <w:rFonts w:ascii="Palatino Linotype" w:hAnsi="Palatino Linotype" w:cs="Times New Roman"/>
          <w:b/>
          <w:sz w:val="25"/>
          <w:szCs w:val="25"/>
        </w:rPr>
        <w:t>Anteilserwerber (Neugesellschafter).</w:t>
      </w:r>
      <w:r w:rsidR="001A66A9">
        <w:rPr>
          <w:rFonts w:ascii="Palatino Linotype" w:hAnsi="Palatino Linotype" w:cs="Times New Roman"/>
          <w:sz w:val="25"/>
          <w:szCs w:val="25"/>
        </w:rPr>
        <w:t xml:space="preserve"> Eine Aufspaltung des einheitlich zu bewertenden Gesamtvorgangs (Darlehensgewährung an die Neugesellschafter und Auszahlung des Verkaufserlöses an den Altgesellschafter) lehnte der OGH in der vorliegenden Konstellation allerdings ab. Es ist daher </w:t>
      </w:r>
      <w:r w:rsidR="001A66A9" w:rsidRPr="001A66A9">
        <w:rPr>
          <w:rFonts w:ascii="Palatino Linotype" w:hAnsi="Palatino Linotype" w:cs="Times New Roman"/>
          <w:sz w:val="25"/>
          <w:szCs w:val="25"/>
          <w:u w:val="single"/>
        </w:rPr>
        <w:t xml:space="preserve">auch </w:t>
      </w:r>
      <w:r w:rsidR="001A66A9" w:rsidRPr="00125166">
        <w:rPr>
          <w:rFonts w:ascii="Palatino Linotype" w:hAnsi="Palatino Linotype" w:cs="Times New Roman"/>
          <w:b/>
          <w:sz w:val="25"/>
          <w:szCs w:val="25"/>
        </w:rPr>
        <w:t>der Altgesellschafter als faktischer Leistungsempfänger zum Rückersatz verpflichtet.</w:t>
      </w:r>
      <w:r w:rsidR="001A66A9">
        <w:rPr>
          <w:rFonts w:ascii="Palatino Linotype" w:hAnsi="Palatino Linotype" w:cs="Times New Roman"/>
          <w:sz w:val="25"/>
          <w:szCs w:val="25"/>
        </w:rPr>
        <w:t xml:space="preserve"> </w:t>
      </w:r>
    </w:p>
    <w:p w:rsidR="001A66A9" w:rsidRDefault="001A66A9" w:rsidP="006E4E5D">
      <w:pPr>
        <w:jc w:val="both"/>
        <w:rPr>
          <w:rFonts w:ascii="Palatino Linotype" w:hAnsi="Palatino Linotype" w:cs="Times New Roman"/>
          <w:sz w:val="25"/>
          <w:szCs w:val="25"/>
        </w:rPr>
      </w:pPr>
    </w:p>
    <w:p w:rsidR="00153C09" w:rsidRPr="00153C09" w:rsidRDefault="00153C09" w:rsidP="00153C09">
      <w:pPr>
        <w:pStyle w:val="berschrift2"/>
        <w:rPr>
          <w:color w:val="FF0000"/>
        </w:rPr>
      </w:pPr>
      <w:r w:rsidRPr="00153C09">
        <w:rPr>
          <w:color w:val="FF0000"/>
        </w:rPr>
        <w:lastRenderedPageBreak/>
        <w:t>Erkennbarkeit uner</w:t>
      </w:r>
      <w:r w:rsidR="008901D5">
        <w:rPr>
          <w:color w:val="FF0000"/>
        </w:rPr>
        <w:t>heblich</w:t>
      </w:r>
    </w:p>
    <w:p w:rsidR="000A1CCC" w:rsidRDefault="00EB5182" w:rsidP="006E4E5D">
      <w:pPr>
        <w:jc w:val="both"/>
        <w:rPr>
          <w:rFonts w:ascii="Palatino Linotype" w:hAnsi="Palatino Linotype" w:cs="Times New Roman"/>
          <w:sz w:val="25"/>
          <w:szCs w:val="25"/>
        </w:rPr>
      </w:pPr>
      <w:r>
        <w:rPr>
          <w:rFonts w:ascii="Palatino Linotype" w:hAnsi="Palatino Linotype" w:cs="Times New Roman"/>
          <w:sz w:val="25"/>
          <w:szCs w:val="25"/>
        </w:rPr>
        <w:t xml:space="preserve">Der OGH hat </w:t>
      </w:r>
      <w:r w:rsidR="001A66A9">
        <w:rPr>
          <w:rFonts w:ascii="Palatino Linotype" w:hAnsi="Palatino Linotype" w:cs="Times New Roman"/>
          <w:sz w:val="25"/>
          <w:szCs w:val="25"/>
        </w:rPr>
        <w:t>zudem</w:t>
      </w:r>
      <w:r>
        <w:rPr>
          <w:rFonts w:ascii="Palatino Linotype" w:hAnsi="Palatino Linotype" w:cs="Times New Roman"/>
          <w:sz w:val="25"/>
          <w:szCs w:val="25"/>
        </w:rPr>
        <w:t xml:space="preserve"> ausdrücklich klargestellt, dass die </w:t>
      </w:r>
      <w:r w:rsidRPr="00125166">
        <w:rPr>
          <w:rFonts w:ascii="Palatino Linotype" w:hAnsi="Palatino Linotype" w:cs="Times New Roman"/>
          <w:b/>
          <w:sz w:val="25"/>
          <w:szCs w:val="25"/>
        </w:rPr>
        <w:t xml:space="preserve">Erkennbarkeit des Verstoßes </w:t>
      </w:r>
      <w:r>
        <w:rPr>
          <w:rFonts w:ascii="Palatino Linotype" w:hAnsi="Palatino Linotype" w:cs="Times New Roman"/>
          <w:sz w:val="25"/>
          <w:szCs w:val="25"/>
        </w:rPr>
        <w:t xml:space="preserve">gegen das Verbot der Einlagenrückgewähr für die Rückzahlungspflicht gemäß § 83 GmbHG </w:t>
      </w:r>
      <w:r w:rsidRPr="00125166">
        <w:rPr>
          <w:rFonts w:ascii="Palatino Linotype" w:hAnsi="Palatino Linotype" w:cs="Times New Roman"/>
          <w:b/>
          <w:sz w:val="25"/>
          <w:szCs w:val="25"/>
        </w:rPr>
        <w:t>keine Rolle</w:t>
      </w:r>
      <w:r>
        <w:rPr>
          <w:rFonts w:ascii="Palatino Linotype" w:hAnsi="Palatino Linotype" w:cs="Times New Roman"/>
          <w:sz w:val="25"/>
          <w:szCs w:val="25"/>
        </w:rPr>
        <w:t xml:space="preserve"> spielt. Auch gutgläubig empfangene Leistungen der Gesellschaft sind rückzuerstatten, wenn die Leistung aus einer verbotenen Einlagenrückgewähr stammt. </w:t>
      </w:r>
    </w:p>
    <w:p w:rsidR="00EB5182" w:rsidRDefault="00EB5182" w:rsidP="006E4E5D">
      <w:pPr>
        <w:jc w:val="both"/>
        <w:rPr>
          <w:rFonts w:ascii="Palatino Linotype" w:hAnsi="Palatino Linotype" w:cs="Times New Roman"/>
          <w:sz w:val="25"/>
          <w:szCs w:val="25"/>
        </w:rPr>
      </w:pPr>
    </w:p>
    <w:p w:rsidR="00EB5182" w:rsidRPr="00153C09" w:rsidRDefault="00153C09" w:rsidP="006E4E5D">
      <w:pPr>
        <w:jc w:val="both"/>
        <w:rPr>
          <w:rFonts w:ascii="Palatino Linotype" w:hAnsi="Palatino Linotype" w:cs="Times New Roman"/>
          <w:b/>
          <w:color w:val="FF0000"/>
          <w:sz w:val="25"/>
          <w:szCs w:val="25"/>
        </w:rPr>
      </w:pPr>
      <w:r w:rsidRPr="00153C09">
        <w:rPr>
          <w:rFonts w:ascii="Palatino Linotype" w:hAnsi="Palatino Linotype" w:cs="Times New Roman"/>
          <w:b/>
          <w:color w:val="FF0000"/>
          <w:sz w:val="25"/>
          <w:szCs w:val="25"/>
        </w:rPr>
        <w:t xml:space="preserve">Obliegenheit für </w:t>
      </w:r>
      <w:r w:rsidR="008901D5">
        <w:rPr>
          <w:rFonts w:ascii="Palatino Linotype" w:hAnsi="Palatino Linotype" w:cs="Times New Roman"/>
          <w:b/>
          <w:color w:val="FF0000"/>
          <w:sz w:val="25"/>
          <w:szCs w:val="25"/>
        </w:rPr>
        <w:t>Anteilsv</w:t>
      </w:r>
      <w:r w:rsidRPr="00153C09">
        <w:rPr>
          <w:rFonts w:ascii="Palatino Linotype" w:hAnsi="Palatino Linotype" w:cs="Times New Roman"/>
          <w:b/>
          <w:color w:val="FF0000"/>
          <w:sz w:val="25"/>
          <w:szCs w:val="25"/>
        </w:rPr>
        <w:t>erkäufer</w:t>
      </w:r>
    </w:p>
    <w:p w:rsidR="00EB5182" w:rsidRDefault="00EB5182" w:rsidP="006E4E5D">
      <w:pPr>
        <w:jc w:val="both"/>
        <w:rPr>
          <w:rFonts w:ascii="Palatino Linotype" w:hAnsi="Palatino Linotype" w:cs="Times New Roman"/>
          <w:sz w:val="25"/>
          <w:szCs w:val="25"/>
        </w:rPr>
      </w:pPr>
      <w:r>
        <w:rPr>
          <w:rFonts w:ascii="Palatino Linotype" w:hAnsi="Palatino Linotype" w:cs="Times New Roman"/>
          <w:sz w:val="25"/>
          <w:szCs w:val="25"/>
        </w:rPr>
        <w:t>Für die Praxis folgt daraus, dass bei einem Anteilsverkauf auch den Verkäufer in bestimmten Konstellationen eine Obliegenheit trifft, die Herkunft der Mittel für die Bezahlung des Kaufpreises zu prüfen.</w:t>
      </w:r>
      <w:r w:rsidR="001A4BEC">
        <w:rPr>
          <w:rFonts w:ascii="Palatino Linotype" w:hAnsi="Palatino Linotype" w:cs="Times New Roman"/>
          <w:sz w:val="25"/>
          <w:szCs w:val="25"/>
        </w:rPr>
        <w:t xml:space="preserve"> Dies gilt insbesondere für solche Konstellationen, in denen der Anteilsverkäufer als Empfänger der (verbotenen) Leistung der Gesellschaft anzusehen ist. </w:t>
      </w:r>
      <w:r>
        <w:rPr>
          <w:rFonts w:ascii="Palatino Linotype" w:hAnsi="Palatino Linotype" w:cs="Times New Roman"/>
          <w:sz w:val="25"/>
          <w:szCs w:val="25"/>
        </w:rPr>
        <w:t xml:space="preserve">Die Leistung einer anfechtbaren  bzw. nichtigen Zahlung kann nicht als Erfüllung iSd § 1412 ABGB angesehen werden. Der Verkäufer ist daher zur Zurückweisung einer solchen Zahlung berechtigt. Nimmt er sie hingegen an, dann ist die Zahlung dennoch nicht schuldbefreiend, sondern </w:t>
      </w:r>
      <w:r w:rsidRPr="001A4BEC">
        <w:rPr>
          <w:rFonts w:ascii="Palatino Linotype" w:hAnsi="Palatino Linotype" w:cs="Times New Roman"/>
          <w:i/>
          <w:sz w:val="25"/>
          <w:szCs w:val="25"/>
        </w:rPr>
        <w:t>„mit dem Mangel des Rüc</w:t>
      </w:r>
      <w:r w:rsidR="001A4BEC" w:rsidRPr="001A4BEC">
        <w:rPr>
          <w:rFonts w:ascii="Palatino Linotype" w:hAnsi="Palatino Linotype" w:cs="Times New Roman"/>
          <w:i/>
          <w:sz w:val="25"/>
          <w:szCs w:val="25"/>
        </w:rPr>
        <w:t>kersatzanspruchs belastet“</w:t>
      </w:r>
      <w:r w:rsidR="001A4BEC">
        <w:rPr>
          <w:rFonts w:ascii="Palatino Linotype" w:hAnsi="Palatino Linotype" w:cs="Times New Roman"/>
          <w:sz w:val="25"/>
          <w:szCs w:val="25"/>
        </w:rPr>
        <w:t xml:space="preserve">. Weist der Verkäufer die Zahlung nicht zurück, muss er (bis zur Verjährung) mit einer jederzeitigen Inanspruchnahme </w:t>
      </w:r>
      <w:r w:rsidR="001A66A9">
        <w:rPr>
          <w:rFonts w:ascii="Palatino Linotype" w:hAnsi="Palatino Linotype" w:cs="Times New Roman"/>
          <w:sz w:val="25"/>
          <w:szCs w:val="25"/>
        </w:rPr>
        <w:t>durch die</w:t>
      </w:r>
      <w:r w:rsidR="001A4BEC">
        <w:rPr>
          <w:rFonts w:ascii="Palatino Linotype" w:hAnsi="Palatino Linotype" w:cs="Times New Roman"/>
          <w:sz w:val="25"/>
          <w:szCs w:val="25"/>
        </w:rPr>
        <w:t xml:space="preserve"> Gesellschaft auf Rückzahlung rechnen.</w:t>
      </w:r>
    </w:p>
    <w:p w:rsidR="001A4BEC" w:rsidRDefault="001A4BEC" w:rsidP="006E4E5D">
      <w:pPr>
        <w:jc w:val="both"/>
        <w:rPr>
          <w:rFonts w:ascii="Palatino Linotype" w:hAnsi="Palatino Linotype" w:cs="Times New Roman"/>
          <w:sz w:val="25"/>
          <w:szCs w:val="25"/>
        </w:rPr>
      </w:pPr>
    </w:p>
    <w:p w:rsidR="008901D5" w:rsidRDefault="008901D5" w:rsidP="006E4E5D">
      <w:pPr>
        <w:jc w:val="both"/>
        <w:rPr>
          <w:rFonts w:ascii="Palatino Linotype" w:hAnsi="Palatino Linotype" w:cs="Times New Roman"/>
          <w:sz w:val="25"/>
          <w:szCs w:val="25"/>
        </w:rPr>
      </w:pPr>
    </w:p>
    <w:p w:rsidR="008901D5" w:rsidRPr="00153C09" w:rsidRDefault="008901D5" w:rsidP="008901D5">
      <w:pPr>
        <w:jc w:val="both"/>
        <w:rPr>
          <w:rFonts w:ascii="Palatino Linotype" w:hAnsi="Palatino Linotype" w:cs="Times New Roman"/>
          <w:b/>
          <w:color w:val="FF0000"/>
          <w:sz w:val="25"/>
          <w:szCs w:val="25"/>
        </w:rPr>
      </w:pPr>
      <w:r>
        <w:rPr>
          <w:rFonts w:ascii="Palatino Linotype" w:hAnsi="Palatino Linotype" w:cs="Times New Roman"/>
          <w:b/>
          <w:color w:val="FF0000"/>
          <w:sz w:val="25"/>
          <w:szCs w:val="25"/>
        </w:rPr>
        <w:t>Unwirksamkeit der Abtretung</w:t>
      </w:r>
    </w:p>
    <w:p w:rsidR="001A4BEC" w:rsidRDefault="001A4BEC" w:rsidP="006E4E5D">
      <w:pPr>
        <w:jc w:val="both"/>
        <w:rPr>
          <w:rFonts w:ascii="Palatino Linotype" w:hAnsi="Palatino Linotype" w:cs="Times New Roman"/>
          <w:sz w:val="25"/>
          <w:szCs w:val="25"/>
        </w:rPr>
      </w:pPr>
      <w:r>
        <w:rPr>
          <w:rFonts w:ascii="Palatino Linotype" w:hAnsi="Palatino Linotype" w:cs="Times New Roman"/>
          <w:sz w:val="25"/>
          <w:szCs w:val="25"/>
        </w:rPr>
        <w:t xml:space="preserve">Im vorliegenden Fall versuchten die beklagten Anteilserwerber die Klage </w:t>
      </w:r>
      <w:r w:rsidR="00B52B07">
        <w:rPr>
          <w:rFonts w:ascii="Palatino Linotype" w:hAnsi="Palatino Linotype" w:cs="Times New Roman"/>
          <w:sz w:val="25"/>
          <w:szCs w:val="25"/>
        </w:rPr>
        <w:t xml:space="preserve">noch </w:t>
      </w:r>
      <w:r>
        <w:rPr>
          <w:rFonts w:ascii="Palatino Linotype" w:hAnsi="Palatino Linotype" w:cs="Times New Roman"/>
          <w:sz w:val="25"/>
          <w:szCs w:val="25"/>
        </w:rPr>
        <w:t xml:space="preserve">dadurch abzuwenden, dass sie sich den Rückzahlungsanspruch der Gesellschaft gemäß § 83 GmbHG </w:t>
      </w:r>
      <w:r w:rsidRPr="00125166">
        <w:rPr>
          <w:rFonts w:ascii="Palatino Linotype" w:hAnsi="Palatino Linotype" w:cs="Times New Roman"/>
          <w:b/>
          <w:sz w:val="25"/>
          <w:szCs w:val="25"/>
        </w:rPr>
        <w:t xml:space="preserve">abtreten ließen und gegen den Kaufpreiszahlungsanspruch aufrechneten. </w:t>
      </w:r>
      <w:r>
        <w:rPr>
          <w:rFonts w:ascii="Palatino Linotype" w:hAnsi="Palatino Linotype" w:cs="Times New Roman"/>
          <w:sz w:val="25"/>
          <w:szCs w:val="25"/>
        </w:rPr>
        <w:t>Der OGH erklärt die Abtretung allerdings ebenfalls wegen Verstoßes gegen § 82 GmbHG für unwirksam. Insbesondere wurde für die Abtretung keine werthaltige Gegenleistung erbracht, weil sie nur dazu diente</w:t>
      </w:r>
      <w:r w:rsidR="001A66A9">
        <w:rPr>
          <w:rFonts w:ascii="Palatino Linotype" w:hAnsi="Palatino Linotype" w:cs="Times New Roman"/>
          <w:sz w:val="25"/>
          <w:szCs w:val="25"/>
        </w:rPr>
        <w:t xml:space="preserve">, den Klagsanspruch abzuwehren und </w:t>
      </w:r>
      <w:r>
        <w:rPr>
          <w:rFonts w:ascii="Palatino Linotype" w:hAnsi="Palatino Linotype" w:cs="Times New Roman"/>
          <w:sz w:val="25"/>
          <w:szCs w:val="25"/>
        </w:rPr>
        <w:t xml:space="preserve">dadurch der Gesellschaft die entzogenen </w:t>
      </w:r>
      <w:r w:rsidR="00B52B07">
        <w:rPr>
          <w:rFonts w:ascii="Palatino Linotype" w:hAnsi="Palatino Linotype" w:cs="Times New Roman"/>
          <w:sz w:val="25"/>
          <w:szCs w:val="25"/>
        </w:rPr>
        <w:t>Mittel aber nicht rückgeführt we</w:t>
      </w:r>
      <w:r>
        <w:rPr>
          <w:rFonts w:ascii="Palatino Linotype" w:hAnsi="Palatino Linotype" w:cs="Times New Roman"/>
          <w:sz w:val="25"/>
          <w:szCs w:val="25"/>
        </w:rPr>
        <w:t>rden.</w:t>
      </w:r>
    </w:p>
    <w:p w:rsidR="001A4BEC" w:rsidRDefault="001A4BEC" w:rsidP="006E4E5D">
      <w:pPr>
        <w:jc w:val="both"/>
        <w:rPr>
          <w:rFonts w:ascii="Palatino Linotype" w:hAnsi="Palatino Linotype" w:cs="Times New Roman"/>
          <w:sz w:val="25"/>
          <w:szCs w:val="25"/>
        </w:rPr>
      </w:pPr>
    </w:p>
    <w:p w:rsidR="001A4BEC" w:rsidRDefault="001A4BEC" w:rsidP="006E4E5D">
      <w:pPr>
        <w:jc w:val="both"/>
        <w:rPr>
          <w:rFonts w:ascii="Palatino Linotype" w:hAnsi="Palatino Linotype" w:cs="Times New Roman"/>
          <w:sz w:val="25"/>
          <w:szCs w:val="25"/>
        </w:rPr>
      </w:pPr>
      <w:r>
        <w:rPr>
          <w:rFonts w:ascii="Palatino Linotype" w:hAnsi="Palatino Linotype" w:cs="Times New Roman"/>
          <w:sz w:val="25"/>
          <w:szCs w:val="25"/>
        </w:rPr>
        <w:t xml:space="preserve">Zuletzt gewährte der OGH dem Kläger sogar den </w:t>
      </w:r>
      <w:r w:rsidRPr="00125166">
        <w:rPr>
          <w:rFonts w:ascii="Palatino Linotype" w:hAnsi="Palatino Linotype" w:cs="Times New Roman"/>
          <w:b/>
          <w:sz w:val="25"/>
          <w:szCs w:val="25"/>
        </w:rPr>
        <w:t>Anspruch auf Verzugszinsen,</w:t>
      </w:r>
      <w:r>
        <w:rPr>
          <w:rFonts w:ascii="Palatino Linotype" w:hAnsi="Palatino Linotype" w:cs="Times New Roman"/>
          <w:sz w:val="25"/>
          <w:szCs w:val="25"/>
        </w:rPr>
        <w:t xml:space="preserve"> weil die erhaltene Zahlung ja keine schuldbefreiende Wirkung hatte und der Kläger seinerseits die aus den Mitteln der Gesellschaft erhaltenen Beträge an diese gemäß § 83 GmbHG mit Zinsen zurückstellen muss.</w:t>
      </w:r>
    </w:p>
    <w:p w:rsidR="00A27B54" w:rsidRDefault="00A27B54" w:rsidP="006E4E5D">
      <w:pPr>
        <w:jc w:val="both"/>
        <w:rPr>
          <w:rFonts w:ascii="Palatino Linotype" w:hAnsi="Palatino Linotype" w:cs="Times New Roman"/>
          <w:sz w:val="25"/>
          <w:szCs w:val="25"/>
        </w:rPr>
      </w:pPr>
    </w:p>
    <w:p w:rsidR="00A27B54" w:rsidRPr="008901D5" w:rsidRDefault="00A27B54" w:rsidP="006E4E5D">
      <w:pPr>
        <w:jc w:val="both"/>
        <w:rPr>
          <w:rFonts w:ascii="Palatino Linotype" w:hAnsi="Palatino Linotype" w:cs="Times New Roman"/>
          <w:b/>
          <w:color w:val="FF0000"/>
          <w:sz w:val="25"/>
          <w:szCs w:val="25"/>
        </w:rPr>
      </w:pPr>
      <w:r w:rsidRPr="008901D5">
        <w:rPr>
          <w:rFonts w:ascii="Palatino Linotype" w:hAnsi="Palatino Linotype" w:cs="Times New Roman"/>
          <w:b/>
          <w:color w:val="FF0000"/>
          <w:sz w:val="25"/>
          <w:szCs w:val="25"/>
        </w:rPr>
        <w:t>Fazit</w:t>
      </w:r>
    </w:p>
    <w:p w:rsidR="001A4BEC" w:rsidRDefault="001A4BEC" w:rsidP="006E4E5D">
      <w:pPr>
        <w:jc w:val="both"/>
        <w:rPr>
          <w:rFonts w:ascii="Palatino Linotype" w:hAnsi="Palatino Linotype" w:cs="Times New Roman"/>
          <w:sz w:val="25"/>
          <w:szCs w:val="25"/>
        </w:rPr>
      </w:pPr>
      <w:bookmarkStart w:id="0" w:name="_GoBack"/>
      <w:bookmarkEnd w:id="0"/>
    </w:p>
    <w:p w:rsidR="001A4BEC" w:rsidRPr="00EB5182" w:rsidRDefault="001A4BEC" w:rsidP="006E4E5D">
      <w:pPr>
        <w:jc w:val="both"/>
        <w:rPr>
          <w:rFonts w:ascii="Palatino Linotype" w:hAnsi="Palatino Linotype" w:cs="Times New Roman"/>
          <w:sz w:val="25"/>
          <w:szCs w:val="25"/>
        </w:rPr>
      </w:pPr>
      <w:r>
        <w:rPr>
          <w:rFonts w:ascii="Palatino Linotype" w:hAnsi="Palatino Linotype" w:cs="Times New Roman"/>
          <w:sz w:val="25"/>
          <w:szCs w:val="25"/>
        </w:rPr>
        <w:t xml:space="preserve">Insgesamt schreibt die Entscheidung </w:t>
      </w:r>
      <w:r w:rsidR="001A66A9">
        <w:rPr>
          <w:rFonts w:ascii="Palatino Linotype" w:hAnsi="Palatino Linotype" w:cs="Times New Roman"/>
          <w:sz w:val="25"/>
          <w:szCs w:val="25"/>
        </w:rPr>
        <w:t>das weite Verständnis der</w:t>
      </w:r>
      <w:r>
        <w:rPr>
          <w:rFonts w:ascii="Palatino Linotype" w:hAnsi="Palatino Linotype" w:cs="Times New Roman"/>
          <w:sz w:val="25"/>
          <w:szCs w:val="25"/>
        </w:rPr>
        <w:t xml:space="preserve"> Rechtsprechung zur verbotenen Einlagenrückgewähr bei Darlehensgewährung </w:t>
      </w:r>
      <w:r w:rsidR="00304FC6">
        <w:rPr>
          <w:rFonts w:ascii="Palatino Linotype" w:hAnsi="Palatino Linotype" w:cs="Times New Roman"/>
          <w:sz w:val="25"/>
          <w:szCs w:val="25"/>
        </w:rPr>
        <w:t xml:space="preserve">von der Gesellschaft an einen Gesellschafter fort. Eine solche wird nur mehr ausnahmsweise zulässig sein, wobei es auf die Fremdüblichkeit der vereinbarten Konditionen </w:t>
      </w:r>
      <w:r w:rsidR="00B52B07">
        <w:rPr>
          <w:rFonts w:ascii="Palatino Linotype" w:hAnsi="Palatino Linotype" w:cs="Times New Roman"/>
          <w:sz w:val="25"/>
          <w:szCs w:val="25"/>
        </w:rPr>
        <w:t xml:space="preserve">primär </w:t>
      </w:r>
      <w:r w:rsidR="00304FC6">
        <w:rPr>
          <w:rFonts w:ascii="Palatino Linotype" w:hAnsi="Palatino Linotype" w:cs="Times New Roman"/>
          <w:sz w:val="25"/>
          <w:szCs w:val="25"/>
        </w:rPr>
        <w:t xml:space="preserve">nicht mehr ankommt. Bei einem Anteilsverkauf sollte der Verkäufer eingehend prüfen, woher die Mittel zur Begleichung der </w:t>
      </w:r>
      <w:r w:rsidR="00304FC6">
        <w:rPr>
          <w:rFonts w:ascii="Palatino Linotype" w:hAnsi="Palatino Linotype" w:cs="Times New Roman"/>
          <w:sz w:val="25"/>
          <w:szCs w:val="25"/>
        </w:rPr>
        <w:lastRenderedPageBreak/>
        <w:t>Kaufpreisforderung stammen; kritisch sind Konstellationen, in denen der Verkäufer als Empfänger einer verbotenen Leistung der Gesellschaft anzusehen ist.</w:t>
      </w:r>
    </w:p>
    <w:sectPr w:rsidR="001A4BEC" w:rsidRPr="00EB5182" w:rsidSect="00F9161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E4E5D"/>
    <w:rsid w:val="00043E43"/>
    <w:rsid w:val="000A1CCC"/>
    <w:rsid w:val="00125166"/>
    <w:rsid w:val="00153C09"/>
    <w:rsid w:val="001A4BEC"/>
    <w:rsid w:val="001A66A9"/>
    <w:rsid w:val="0021294E"/>
    <w:rsid w:val="00304FC6"/>
    <w:rsid w:val="00360C6C"/>
    <w:rsid w:val="00397FC1"/>
    <w:rsid w:val="003A0D3D"/>
    <w:rsid w:val="003C1CB6"/>
    <w:rsid w:val="0040128F"/>
    <w:rsid w:val="00414780"/>
    <w:rsid w:val="0045092B"/>
    <w:rsid w:val="00461390"/>
    <w:rsid w:val="004B29BD"/>
    <w:rsid w:val="006E4E5D"/>
    <w:rsid w:val="00793182"/>
    <w:rsid w:val="007A535D"/>
    <w:rsid w:val="007E0F1E"/>
    <w:rsid w:val="008901D5"/>
    <w:rsid w:val="008F0139"/>
    <w:rsid w:val="009366E7"/>
    <w:rsid w:val="00984777"/>
    <w:rsid w:val="009D0E62"/>
    <w:rsid w:val="00A06A3E"/>
    <w:rsid w:val="00A27B54"/>
    <w:rsid w:val="00A63070"/>
    <w:rsid w:val="00A85383"/>
    <w:rsid w:val="00B44045"/>
    <w:rsid w:val="00B52B07"/>
    <w:rsid w:val="00BC6862"/>
    <w:rsid w:val="00BD4539"/>
    <w:rsid w:val="00C179D3"/>
    <w:rsid w:val="00C66E81"/>
    <w:rsid w:val="00C81DCD"/>
    <w:rsid w:val="00CB435A"/>
    <w:rsid w:val="00CD061F"/>
    <w:rsid w:val="00D95CC9"/>
    <w:rsid w:val="00E075D9"/>
    <w:rsid w:val="00E550EF"/>
    <w:rsid w:val="00E5664F"/>
    <w:rsid w:val="00E75C2E"/>
    <w:rsid w:val="00EB5182"/>
    <w:rsid w:val="00EC753C"/>
    <w:rsid w:val="00F9161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1613"/>
    <w:pPr>
      <w:spacing w:after="0" w:line="240" w:lineRule="auto"/>
    </w:pPr>
    <w:rPr>
      <w:rFonts w:ascii="Calibri" w:hAnsi="Calibri"/>
    </w:rPr>
  </w:style>
  <w:style w:type="paragraph" w:styleId="berschrift1">
    <w:name w:val="heading 1"/>
    <w:basedOn w:val="Standard"/>
    <w:next w:val="Standard"/>
    <w:link w:val="berschrift1Zchn"/>
    <w:uiPriority w:val="9"/>
    <w:qFormat/>
    <w:rsid w:val="00153C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53C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7B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7B54"/>
    <w:rPr>
      <w:rFonts w:ascii="Tahoma" w:hAnsi="Tahoma" w:cs="Tahoma"/>
      <w:sz w:val="16"/>
      <w:szCs w:val="16"/>
    </w:rPr>
  </w:style>
  <w:style w:type="character" w:customStyle="1" w:styleId="berschrift2Zchn">
    <w:name w:val="Überschrift 2 Zchn"/>
    <w:basedOn w:val="Absatz-Standardschriftart"/>
    <w:link w:val="berschrift2"/>
    <w:uiPriority w:val="9"/>
    <w:rsid w:val="00153C09"/>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153C0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CE18-96FB-4537-9467-14956905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6603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WEKA</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dc:creator>
  <cp:lastModifiedBy>Shell</cp:lastModifiedBy>
  <cp:revision>3</cp:revision>
  <cp:lastPrinted>2017-12-07T09:58:00Z</cp:lastPrinted>
  <dcterms:created xsi:type="dcterms:W3CDTF">2017-12-07T13:59:00Z</dcterms:created>
  <dcterms:modified xsi:type="dcterms:W3CDTF">2017-12-07T14:01:00Z</dcterms:modified>
</cp:coreProperties>
</file>